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297" w:rsidRPr="000B7297" w:rsidRDefault="000B7297" w:rsidP="00A76FB8">
      <w:pPr>
        <w:keepNext/>
        <w:keepLines/>
        <w:spacing w:before="240" w:after="0"/>
        <w:outlineLvl w:val="0"/>
        <w:rPr>
          <w:rFonts w:ascii="Trebuchet MS" w:eastAsia="Calibri" w:hAnsi="Trebuchet MS" w:cs="Times New Roman"/>
          <w:b/>
          <w:color w:val="002060"/>
        </w:rPr>
      </w:pPr>
      <w:bookmarkStart w:id="0" w:name="_Toc449017729"/>
      <w:bookmarkStart w:id="1" w:name="_Toc457553733"/>
      <w:bookmarkStart w:id="2" w:name="_GoBack"/>
      <w:bookmarkEnd w:id="2"/>
      <w:r w:rsidRPr="000B7297">
        <w:rPr>
          <w:rFonts w:ascii="Trebuchet MS" w:eastAsia="Calibri" w:hAnsi="Trebuchet MS" w:cs="Times New Roman"/>
          <w:b/>
          <w:color w:val="002060"/>
        </w:rPr>
        <w:t xml:space="preserve">ANEXA 3 - </w:t>
      </w:r>
      <w:bookmarkEnd w:id="0"/>
      <w:r w:rsidRPr="000B7297">
        <w:rPr>
          <w:rFonts w:ascii="Trebuchet MS" w:eastAsia="Calibri" w:hAnsi="Trebuchet MS" w:cs="Times New Roman"/>
          <w:b/>
          <w:color w:val="002060"/>
        </w:rPr>
        <w:t>DEFINIȚIILE INDICATORILOR</w:t>
      </w:r>
      <w:bookmarkEnd w:id="1"/>
      <w:r w:rsidRPr="000B7297">
        <w:rPr>
          <w:rFonts w:ascii="Trebuchet MS" w:eastAsia="Calibri" w:hAnsi="Trebuchet MS" w:cs="Times New Roman"/>
          <w:b/>
          <w:color w:val="002060"/>
        </w:rPr>
        <w:t xml:space="preserve"> </w:t>
      </w:r>
    </w:p>
    <w:p w:rsidR="000B7297" w:rsidRDefault="000B7297" w:rsidP="008C274B">
      <w:pPr>
        <w:jc w:val="both"/>
        <w:rPr>
          <w:rFonts w:ascii="Times New Roman" w:hAnsi="Times New Roman" w:cs="Times New Roman"/>
          <w:color w:val="17365D" w:themeColor="text2" w:themeShade="BF"/>
        </w:rPr>
      </w:pPr>
    </w:p>
    <w:tbl>
      <w:tblPr>
        <w:tblStyle w:val="Tabelgril1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18"/>
        <w:gridCol w:w="1108"/>
        <w:gridCol w:w="1219"/>
        <w:gridCol w:w="6520"/>
      </w:tblGrid>
      <w:tr w:rsidR="000B7297" w:rsidRPr="00E6419E" w:rsidTr="000B7297">
        <w:tc>
          <w:tcPr>
            <w:tcW w:w="1218" w:type="dxa"/>
            <w:shd w:val="clear" w:color="auto" w:fill="DAEEF3" w:themeFill="accent5" w:themeFillTint="33"/>
          </w:tcPr>
          <w:p w:rsidR="000B7297" w:rsidRPr="00E6419E" w:rsidRDefault="000B7297" w:rsidP="00506463">
            <w:pPr>
              <w:jc w:val="both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</w:p>
        </w:tc>
        <w:tc>
          <w:tcPr>
            <w:tcW w:w="1108" w:type="dxa"/>
            <w:shd w:val="clear" w:color="auto" w:fill="DAEEF3" w:themeFill="accent5" w:themeFillTint="33"/>
          </w:tcPr>
          <w:p w:rsidR="000B7297" w:rsidRPr="00E6419E" w:rsidRDefault="000B7297" w:rsidP="00506463">
            <w:pPr>
              <w:jc w:val="both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</w:p>
        </w:tc>
        <w:tc>
          <w:tcPr>
            <w:tcW w:w="1219" w:type="dxa"/>
            <w:shd w:val="clear" w:color="auto" w:fill="DAEEF3" w:themeFill="accent5" w:themeFillTint="33"/>
          </w:tcPr>
          <w:p w:rsidR="000B7297" w:rsidRPr="00A00715" w:rsidRDefault="000B7297" w:rsidP="00506463">
            <w:pPr>
              <w:jc w:val="both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</w:p>
        </w:tc>
        <w:tc>
          <w:tcPr>
            <w:tcW w:w="6520" w:type="dxa"/>
            <w:shd w:val="clear" w:color="auto" w:fill="DAEEF3" w:themeFill="accent5" w:themeFillTint="33"/>
          </w:tcPr>
          <w:p w:rsidR="000B7297" w:rsidRPr="00054D65" w:rsidRDefault="000B7297" w:rsidP="00506463">
            <w:pPr>
              <w:pStyle w:val="Textnotdesubsol"/>
              <w:spacing w:line="240" w:lineRule="auto"/>
              <w:rPr>
                <w:rFonts w:ascii="Times New Roman" w:hAnsi="Times New Roman"/>
                <w:color w:val="00B050"/>
              </w:rPr>
            </w:pPr>
          </w:p>
        </w:tc>
      </w:tr>
      <w:tr w:rsidR="000B7297" w:rsidRPr="00E6419E" w:rsidTr="000B7297">
        <w:tc>
          <w:tcPr>
            <w:tcW w:w="1218" w:type="dxa"/>
            <w:shd w:val="clear" w:color="auto" w:fill="DAEEF3" w:themeFill="accent5" w:themeFillTint="33"/>
          </w:tcPr>
          <w:p w:rsidR="000B7297" w:rsidRPr="00E6419E" w:rsidRDefault="000B7297" w:rsidP="00506463">
            <w:pPr>
              <w:jc w:val="both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  <w:r w:rsidRPr="00E6419E">
              <w:rPr>
                <w:rFonts w:ascii="Times New Roman" w:hAnsi="Times New Roman" w:cs="Times New Roman"/>
                <w:b/>
                <w:color w:val="17365D" w:themeColor="text2" w:themeShade="BF"/>
              </w:rPr>
              <w:t>COD</w:t>
            </w:r>
          </w:p>
        </w:tc>
        <w:tc>
          <w:tcPr>
            <w:tcW w:w="1108" w:type="dxa"/>
            <w:shd w:val="clear" w:color="auto" w:fill="DAEEF3" w:themeFill="accent5" w:themeFillTint="33"/>
          </w:tcPr>
          <w:p w:rsidR="000B7297" w:rsidRDefault="000B7297" w:rsidP="00506463">
            <w:pPr>
              <w:jc w:val="both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  <w:r w:rsidRPr="00E6419E">
              <w:rPr>
                <w:rFonts w:ascii="Times New Roman" w:hAnsi="Times New Roman" w:cs="Times New Roman"/>
                <w:b/>
                <w:color w:val="17365D" w:themeColor="text2" w:themeShade="BF"/>
              </w:rPr>
              <w:t>TIP</w:t>
            </w:r>
          </w:p>
        </w:tc>
        <w:tc>
          <w:tcPr>
            <w:tcW w:w="1219" w:type="dxa"/>
            <w:shd w:val="clear" w:color="auto" w:fill="DAEEF3" w:themeFill="accent5" w:themeFillTint="33"/>
          </w:tcPr>
          <w:p w:rsidR="000B7297" w:rsidRDefault="000B7297" w:rsidP="00506463">
            <w:pPr>
              <w:jc w:val="both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  <w:r w:rsidRPr="00E6419E">
              <w:rPr>
                <w:rFonts w:ascii="Times New Roman" w:hAnsi="Times New Roman" w:cs="Times New Roman"/>
                <w:b/>
                <w:color w:val="17365D" w:themeColor="text2" w:themeShade="BF"/>
              </w:rPr>
              <w:t>DENUMITE INDICATOR</w:t>
            </w:r>
          </w:p>
          <w:p w:rsidR="000B7297" w:rsidRPr="00A00715" w:rsidRDefault="000B7297" w:rsidP="00506463">
            <w:pPr>
              <w:jc w:val="both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</w:p>
        </w:tc>
        <w:tc>
          <w:tcPr>
            <w:tcW w:w="6520" w:type="dxa"/>
            <w:shd w:val="clear" w:color="auto" w:fill="DAEEF3" w:themeFill="accent5" w:themeFillTint="33"/>
          </w:tcPr>
          <w:p w:rsidR="000B7297" w:rsidRDefault="000B7297" w:rsidP="00506463">
            <w:pPr>
              <w:jc w:val="both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  <w:r w:rsidRPr="00E6419E">
              <w:rPr>
                <w:rFonts w:ascii="Times New Roman" w:hAnsi="Times New Roman" w:cs="Times New Roman"/>
                <w:b/>
                <w:color w:val="17365D" w:themeColor="text2" w:themeShade="BF"/>
              </w:rPr>
              <w:t>DEFINIȚIA INDICATORULUI</w:t>
            </w:r>
          </w:p>
          <w:p w:rsidR="000B7297" w:rsidRPr="00A00715" w:rsidRDefault="000B7297" w:rsidP="00506463">
            <w:pPr>
              <w:jc w:val="both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</w:tr>
      <w:tr w:rsidR="000B7297" w:rsidRPr="00E6419E" w:rsidTr="000B7297">
        <w:tc>
          <w:tcPr>
            <w:tcW w:w="1218" w:type="dxa"/>
            <w:shd w:val="clear" w:color="auto" w:fill="DAEEF3" w:themeFill="accent5" w:themeFillTint="33"/>
          </w:tcPr>
          <w:p w:rsidR="000B7297" w:rsidRDefault="000B7297" w:rsidP="00506463">
            <w:pPr>
              <w:jc w:val="both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  <w:r>
              <w:rPr>
                <w:rFonts w:ascii="Times New Roman" w:hAnsi="Times New Roman" w:cs="Times New Roman"/>
                <w:b/>
                <w:color w:val="17365D" w:themeColor="text2" w:themeShade="BF"/>
              </w:rPr>
              <w:t>4S104</w:t>
            </w:r>
          </w:p>
        </w:tc>
        <w:tc>
          <w:tcPr>
            <w:tcW w:w="1108" w:type="dxa"/>
            <w:shd w:val="clear" w:color="auto" w:fill="DAEEF3" w:themeFill="accent5" w:themeFillTint="33"/>
          </w:tcPr>
          <w:p w:rsidR="000B7297" w:rsidRDefault="000B7297" w:rsidP="00506463">
            <w:pPr>
              <w:jc w:val="both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  <w:r>
              <w:rPr>
                <w:rFonts w:ascii="Times New Roman" w:hAnsi="Times New Roman" w:cs="Times New Roman"/>
                <w:b/>
                <w:color w:val="17365D" w:themeColor="text2" w:themeShade="BF"/>
              </w:rPr>
              <w:t>Realizare</w:t>
            </w:r>
          </w:p>
        </w:tc>
        <w:tc>
          <w:tcPr>
            <w:tcW w:w="1219" w:type="dxa"/>
            <w:shd w:val="clear" w:color="auto" w:fill="DAEEF3" w:themeFill="accent5" w:themeFillTint="33"/>
          </w:tcPr>
          <w:p w:rsidR="000B7297" w:rsidRPr="00A00715" w:rsidRDefault="000B7297" w:rsidP="00506463">
            <w:pPr>
              <w:jc w:val="both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  <w:r w:rsidRPr="00A00715">
              <w:rPr>
                <w:rFonts w:ascii="Times New Roman" w:hAnsi="Times New Roman" w:cs="Times New Roman"/>
                <w:b/>
                <w:color w:val="17365D" w:themeColor="text2" w:themeShade="BF"/>
              </w:rPr>
              <w:t>4S104</w:t>
            </w:r>
            <w:r>
              <w:rPr>
                <w:rFonts w:ascii="Times New Roman" w:hAnsi="Times New Roman" w:cs="Times New Roman"/>
                <w:b/>
                <w:color w:val="17365D" w:themeColor="text2" w:themeShade="BF"/>
              </w:rPr>
              <w:t xml:space="preserve"> </w:t>
            </w:r>
            <w:r w:rsidRPr="00A00715">
              <w:rPr>
                <w:rFonts w:ascii="Times New Roman" w:hAnsi="Times New Roman" w:cs="Times New Roman"/>
                <w:color w:val="17365D" w:themeColor="text2" w:themeShade="BF"/>
              </w:rPr>
              <w:t>- Studii/ analize etc. elaborate</w:t>
            </w:r>
          </w:p>
        </w:tc>
        <w:tc>
          <w:tcPr>
            <w:tcW w:w="6520" w:type="dxa"/>
            <w:shd w:val="clear" w:color="auto" w:fill="DAEEF3" w:themeFill="accent5" w:themeFillTint="33"/>
          </w:tcPr>
          <w:p w:rsidR="000B7297" w:rsidRDefault="000B7297" w:rsidP="00506463">
            <w:pPr>
              <w:jc w:val="both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A00715">
              <w:rPr>
                <w:rFonts w:ascii="Times New Roman" w:hAnsi="Times New Roman" w:cs="Times New Roman"/>
                <w:color w:val="17365D" w:themeColor="text2" w:themeShade="BF"/>
              </w:rPr>
              <w:t xml:space="preserve">Acest indicator reprezintă numărul de studii/analize elaborate pentru analiza </w:t>
            </w:r>
            <w:proofErr w:type="spellStart"/>
            <w:r w:rsidRPr="00A00715">
              <w:rPr>
                <w:rFonts w:ascii="Times New Roman" w:hAnsi="Times New Roman" w:cs="Times New Roman"/>
                <w:color w:val="17365D" w:themeColor="text2" w:themeShade="BF"/>
              </w:rPr>
              <w:t>calităţii</w:t>
            </w:r>
            <w:proofErr w:type="spellEnd"/>
            <w:r w:rsidRPr="00A00715">
              <w:rPr>
                <w:rFonts w:ascii="Times New Roman" w:hAnsi="Times New Roman" w:cs="Times New Roman"/>
                <w:color w:val="17365D" w:themeColor="text2" w:themeShade="BF"/>
              </w:rPr>
              <w:t xml:space="preserve"> în </w:t>
            </w:r>
            <w:proofErr w:type="spellStart"/>
            <w:r w:rsidRPr="00A00715">
              <w:rPr>
                <w:rFonts w:ascii="Times New Roman" w:hAnsi="Times New Roman" w:cs="Times New Roman"/>
                <w:color w:val="17365D" w:themeColor="text2" w:themeShade="BF"/>
              </w:rPr>
              <w:t>învăţământul</w:t>
            </w:r>
            <w:proofErr w:type="spellEnd"/>
            <w:r w:rsidRPr="00A00715">
              <w:rPr>
                <w:rFonts w:ascii="Times New Roman" w:hAnsi="Times New Roman" w:cs="Times New Roman"/>
                <w:color w:val="17365D" w:themeColor="text2" w:themeShade="BF"/>
              </w:rPr>
              <w:t xml:space="preserve"> </w:t>
            </w:r>
            <w:proofErr w:type="spellStart"/>
            <w:r w:rsidRPr="00A00715">
              <w:rPr>
                <w:rFonts w:ascii="Times New Roman" w:hAnsi="Times New Roman" w:cs="Times New Roman"/>
                <w:color w:val="17365D" w:themeColor="text2" w:themeShade="BF"/>
              </w:rPr>
              <w:t>terţiar</w:t>
            </w:r>
            <w:proofErr w:type="spellEnd"/>
            <w:r w:rsidRPr="00A00715">
              <w:rPr>
                <w:rFonts w:ascii="Times New Roman" w:hAnsi="Times New Roman" w:cs="Times New Roman"/>
                <w:color w:val="17365D" w:themeColor="text2" w:themeShade="BF"/>
              </w:rPr>
              <w:t xml:space="preserve"> universitar și non-universitar, ca urmare a sprijinului direct în cadrul Obiectivului Specific 6.8 și elaborate în cadrul uneia din regiunile de dezvoltare eligibile.  </w:t>
            </w:r>
          </w:p>
          <w:p w:rsidR="000B7297" w:rsidRDefault="000B7297" w:rsidP="00506463">
            <w:pPr>
              <w:jc w:val="both"/>
              <w:rPr>
                <w:rFonts w:ascii="Times New Roman" w:hAnsi="Times New Roman" w:cs="Times New Roman"/>
                <w:color w:val="17365D" w:themeColor="text2" w:themeShade="BF"/>
              </w:rPr>
            </w:pPr>
          </w:p>
          <w:p w:rsidR="000B7297" w:rsidRPr="00A00715" w:rsidRDefault="000B7297" w:rsidP="00506463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A00715">
              <w:rPr>
                <w:rFonts w:ascii="Times New Roman" w:hAnsi="Times New Roman" w:cs="Times New Roman"/>
                <w:b/>
                <w:color w:val="FF0000"/>
              </w:rPr>
              <w:t>EXPLICAȚIILE TERMENILOR</w:t>
            </w:r>
          </w:p>
          <w:p w:rsidR="000B7297" w:rsidRPr="00E1621A" w:rsidRDefault="000B7297" w:rsidP="0050646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4D65">
              <w:rPr>
                <w:rFonts w:ascii="Times New Roman" w:hAnsi="Times New Roman"/>
                <w:b/>
                <w:color w:val="00B050"/>
              </w:rPr>
              <w:t xml:space="preserve"> </w:t>
            </w:r>
            <w:r w:rsidRPr="00E1621A">
              <w:rPr>
                <w:rFonts w:ascii="Times New Roman" w:hAnsi="Times New Roman" w:cs="Times New Roman"/>
                <w:b/>
                <w:color w:val="17365D" w:themeColor="text2" w:themeShade="BF"/>
                <w:sz w:val="20"/>
                <w:szCs w:val="20"/>
              </w:rPr>
              <w:t>„Studiile”</w:t>
            </w:r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constau într-o cercetare, o examinare, identificare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înţelegere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sistematică a aspectelor sau factorilor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asociaţi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cu o activitate, un eveniment, fenomen,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situaţie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etc. Deseori un raport este elaborat la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sfârşitul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unui studiu care sintetizează constatările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poate să includă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recomandările privind următoarele măsuri de luat. </w:t>
            </w:r>
            <w:r w:rsidRPr="00E1621A">
              <w:rPr>
                <w:rFonts w:ascii="Times New Roman" w:hAnsi="Times New Roman" w:cs="Times New Roman"/>
                <w:b/>
                <w:color w:val="17365D" w:themeColor="text2" w:themeShade="BF"/>
                <w:sz w:val="20"/>
                <w:szCs w:val="20"/>
              </w:rPr>
              <w:t>Sursa:</w:t>
            </w:r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</w:t>
            </w:r>
            <w:r w:rsidRPr="00E1621A">
              <w:rPr>
                <w:rFonts w:ascii="Times New Roman" w:hAnsi="Times New Roman" w:cs="Times New Roman"/>
                <w:i/>
                <w:color w:val="17365D" w:themeColor="text2" w:themeShade="BF"/>
                <w:sz w:val="20"/>
                <w:szCs w:val="20"/>
              </w:rPr>
              <w:t>Propus de echipa de evaluare -  „</w:t>
            </w:r>
            <w:proofErr w:type="spellStart"/>
            <w:r w:rsidRPr="00E1621A">
              <w:rPr>
                <w:rFonts w:ascii="Times New Roman" w:hAnsi="Times New Roman" w:cs="Times New Roman"/>
                <w:i/>
                <w:color w:val="17365D" w:themeColor="text2" w:themeShade="BF"/>
                <w:sz w:val="20"/>
                <w:szCs w:val="20"/>
              </w:rPr>
              <w:t>Definiţia</w:t>
            </w:r>
            <w:proofErr w:type="spellEnd"/>
            <w:r w:rsidRPr="00E1621A">
              <w:rPr>
                <w:rFonts w:ascii="Times New Roman" w:hAnsi="Times New Roman" w:cs="Times New Roman"/>
                <w:i/>
                <w:color w:val="17365D" w:themeColor="text2" w:themeShade="BF"/>
                <w:sz w:val="20"/>
                <w:szCs w:val="20"/>
              </w:rPr>
              <w:t xml:space="preserve"> oficială conform </w:t>
            </w:r>
            <w:proofErr w:type="spellStart"/>
            <w:r w:rsidRPr="00E1621A">
              <w:rPr>
                <w:rFonts w:ascii="Times New Roman" w:hAnsi="Times New Roman" w:cs="Times New Roman"/>
                <w:i/>
                <w:color w:val="17365D" w:themeColor="text2" w:themeShade="BF"/>
                <w:sz w:val="20"/>
                <w:szCs w:val="20"/>
              </w:rPr>
              <w:t>legislaţiei</w:t>
            </w:r>
            <w:proofErr w:type="spellEnd"/>
            <w:r w:rsidRPr="00E1621A">
              <w:rPr>
                <w:rFonts w:ascii="Times New Roman" w:hAnsi="Times New Roman" w:cs="Times New Roman"/>
                <w:i/>
                <w:color w:val="17365D" w:themeColor="text2" w:themeShade="BF"/>
                <w:sz w:val="20"/>
                <w:szCs w:val="20"/>
              </w:rPr>
              <w:t xml:space="preserve"> naționale nu a fost identificată</w:t>
            </w:r>
          </w:p>
          <w:p w:rsidR="000B7297" w:rsidRPr="00E1621A" w:rsidRDefault="000B7297" w:rsidP="00506463">
            <w:pPr>
              <w:jc w:val="both"/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</w:pPr>
            <w:r w:rsidRPr="00E1621A">
              <w:rPr>
                <w:rStyle w:val="Referinnotdesubsol"/>
                <w:rFonts w:ascii="Times New Roman" w:hAnsi="Times New Roman" w:cs="Times New Roman"/>
                <w:sz w:val="20"/>
                <w:szCs w:val="20"/>
              </w:rPr>
              <w:footnoteRef/>
            </w:r>
            <w:r w:rsidRPr="00E162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621A">
              <w:rPr>
                <w:rFonts w:ascii="Times New Roman" w:hAnsi="Times New Roman" w:cs="Times New Roman"/>
                <w:b/>
                <w:color w:val="17365D" w:themeColor="text2" w:themeShade="BF"/>
                <w:sz w:val="20"/>
                <w:szCs w:val="20"/>
              </w:rPr>
              <w:t>„Analizele“</w:t>
            </w:r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reprezintă examinări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evaluări sistematice ale datelor sau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informaţiilor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, prin defalcarea acestora în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părţi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componente pentru a le identifica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interrelaţiile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; o examinare a datelor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a faptelor pentru identificarea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înţelegerea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relaţiilor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cauză-efect, asigurând astfel baza pentru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soluţionarea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problemelor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luarea deciziilor. </w:t>
            </w:r>
            <w:r w:rsidRPr="00E1621A">
              <w:rPr>
                <w:rFonts w:ascii="Times New Roman" w:hAnsi="Times New Roman" w:cs="Times New Roman"/>
                <w:b/>
                <w:color w:val="17365D" w:themeColor="text2" w:themeShade="BF"/>
                <w:sz w:val="20"/>
                <w:szCs w:val="20"/>
              </w:rPr>
              <w:t>Sursa:</w:t>
            </w:r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</w:t>
            </w:r>
            <w:r w:rsidRPr="00E1621A">
              <w:rPr>
                <w:rFonts w:ascii="Times New Roman" w:hAnsi="Times New Roman" w:cs="Times New Roman"/>
                <w:i/>
                <w:color w:val="17365D" w:themeColor="text2" w:themeShade="BF"/>
                <w:sz w:val="20"/>
                <w:szCs w:val="20"/>
              </w:rPr>
              <w:t>Propus de echipa de evaluare -  „</w:t>
            </w:r>
            <w:proofErr w:type="spellStart"/>
            <w:r w:rsidRPr="00E1621A">
              <w:rPr>
                <w:rFonts w:ascii="Times New Roman" w:hAnsi="Times New Roman" w:cs="Times New Roman"/>
                <w:i/>
                <w:color w:val="17365D" w:themeColor="text2" w:themeShade="BF"/>
                <w:sz w:val="20"/>
                <w:szCs w:val="20"/>
              </w:rPr>
              <w:t>Definiţia</w:t>
            </w:r>
            <w:proofErr w:type="spellEnd"/>
            <w:r w:rsidRPr="00E1621A">
              <w:rPr>
                <w:rFonts w:ascii="Times New Roman" w:hAnsi="Times New Roman" w:cs="Times New Roman"/>
                <w:i/>
                <w:color w:val="17365D" w:themeColor="text2" w:themeShade="BF"/>
                <w:sz w:val="20"/>
                <w:szCs w:val="20"/>
              </w:rPr>
              <w:t xml:space="preserve"> oficială conform </w:t>
            </w:r>
            <w:proofErr w:type="spellStart"/>
            <w:r w:rsidRPr="00E1621A">
              <w:rPr>
                <w:rFonts w:ascii="Times New Roman" w:hAnsi="Times New Roman" w:cs="Times New Roman"/>
                <w:i/>
                <w:color w:val="17365D" w:themeColor="text2" w:themeShade="BF"/>
                <w:sz w:val="20"/>
                <w:szCs w:val="20"/>
              </w:rPr>
              <w:t>legislaţiei</w:t>
            </w:r>
            <w:proofErr w:type="spellEnd"/>
            <w:r w:rsidRPr="00E1621A">
              <w:rPr>
                <w:rFonts w:ascii="Times New Roman" w:hAnsi="Times New Roman" w:cs="Times New Roman"/>
                <w:i/>
                <w:color w:val="17365D" w:themeColor="text2" w:themeShade="BF"/>
                <w:sz w:val="20"/>
                <w:szCs w:val="20"/>
              </w:rPr>
              <w:t xml:space="preserve"> naționale nu a fost identificată”</w:t>
            </w:r>
          </w:p>
          <w:p w:rsidR="000B7297" w:rsidRPr="00E1621A" w:rsidRDefault="000B7297" w:rsidP="00506463">
            <w:pPr>
              <w:jc w:val="both"/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</w:pPr>
            <w:r w:rsidRPr="00E1621A">
              <w:rPr>
                <w:rStyle w:val="Referinnotdesubsol"/>
                <w:rFonts w:ascii="Times New Roman" w:hAnsi="Times New Roman" w:cs="Times New Roman"/>
                <w:sz w:val="20"/>
                <w:szCs w:val="20"/>
              </w:rPr>
              <w:footnoteRef/>
            </w:r>
            <w:r w:rsidRPr="00E162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621A">
              <w:rPr>
                <w:rFonts w:ascii="Times New Roman" w:hAnsi="Times New Roman" w:cs="Times New Roman"/>
                <w:b/>
                <w:color w:val="17365D" w:themeColor="text2" w:themeShade="BF"/>
                <w:sz w:val="20"/>
                <w:szCs w:val="20"/>
              </w:rPr>
              <w:t>„</w:t>
            </w:r>
            <w:proofErr w:type="spellStart"/>
            <w:r w:rsidRPr="00E1621A">
              <w:rPr>
                <w:rFonts w:ascii="Times New Roman" w:hAnsi="Times New Roman" w:cs="Times New Roman"/>
                <w:b/>
                <w:color w:val="17365D" w:themeColor="text2" w:themeShade="BF"/>
                <w:sz w:val="20"/>
                <w:szCs w:val="20"/>
              </w:rPr>
              <w:t>Învăţământ</w:t>
            </w:r>
            <w:proofErr w:type="spellEnd"/>
            <w:r w:rsidRPr="00E1621A">
              <w:rPr>
                <w:rFonts w:ascii="Times New Roman" w:hAnsi="Times New Roman" w:cs="Times New Roman"/>
                <w:b/>
                <w:color w:val="17365D" w:themeColor="text2" w:themeShade="BF"/>
                <w:sz w:val="20"/>
                <w:szCs w:val="20"/>
              </w:rPr>
              <w:t xml:space="preserve"> </w:t>
            </w:r>
            <w:proofErr w:type="spellStart"/>
            <w:r w:rsidRPr="00E1621A">
              <w:rPr>
                <w:rFonts w:ascii="Times New Roman" w:hAnsi="Times New Roman" w:cs="Times New Roman"/>
                <w:b/>
                <w:color w:val="17365D" w:themeColor="text2" w:themeShade="BF"/>
                <w:sz w:val="20"/>
                <w:szCs w:val="20"/>
              </w:rPr>
              <w:t>terţiar</w:t>
            </w:r>
            <w:proofErr w:type="spellEnd"/>
            <w:r w:rsidRPr="00E1621A">
              <w:rPr>
                <w:rFonts w:ascii="Times New Roman" w:hAnsi="Times New Roman" w:cs="Times New Roman"/>
                <w:b/>
                <w:color w:val="17365D" w:themeColor="text2" w:themeShade="BF"/>
                <w:sz w:val="20"/>
                <w:szCs w:val="20"/>
              </w:rPr>
              <w:t xml:space="preserve">” </w:t>
            </w:r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este organizat în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universităţi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, academii de studii, institute,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şcoli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de studii superioare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altele asemenea, denumite în continuare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instituţii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de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învăţământ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superior sau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universităţi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. Misiunea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învăţământului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superior este de a genera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de a transfera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cunoaştere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către societate prin: </w:t>
            </w:r>
          </w:p>
          <w:p w:rsidR="000B7297" w:rsidRPr="00E1621A" w:rsidRDefault="000B7297" w:rsidP="00506463">
            <w:pPr>
              <w:jc w:val="both"/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</w:pPr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a) formare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iniţială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continuă la nivel universitar, în scopul dezvoltării personale, al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inserţiei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profesionale a individului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a satisfacerii nevoii de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competenţă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a mediului socioeconomic; </w:t>
            </w:r>
          </w:p>
          <w:p w:rsidR="000B7297" w:rsidRPr="00E1621A" w:rsidRDefault="000B7297" w:rsidP="00506463">
            <w:pPr>
              <w:jc w:val="both"/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</w:pPr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b) cercetare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ştiinţifică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, dezvoltare, inovare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transfer tehnologic, prin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creaţie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individuală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colectivă, în domeniul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ştiinţelor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, al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ştiinţelor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inginereşti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, al artelor, al literelor, prin asigurarea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performanţelor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dezvoltării fizice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sportive, precum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valorificarea </w:t>
            </w:r>
            <w:proofErr w:type="spellStart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>şi</w:t>
            </w:r>
            <w:proofErr w:type="spellEnd"/>
            <w:r w:rsidRPr="00E1621A">
              <w:rPr>
                <w:rFonts w:ascii="Times New Roman" w:hAnsi="Times New Roman" w:cs="Times New Roman"/>
                <w:color w:val="17365D" w:themeColor="text2" w:themeShade="BF"/>
                <w:sz w:val="20"/>
                <w:szCs w:val="20"/>
              </w:rPr>
              <w:t xml:space="preserve"> diseminarea rezultatelor acestora. </w:t>
            </w:r>
          </w:p>
          <w:p w:rsidR="000B7297" w:rsidRPr="00E1621A" w:rsidRDefault="000B7297" w:rsidP="00506463">
            <w:pPr>
              <w:pStyle w:val="Textnotdesubsol"/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E1621A">
              <w:rPr>
                <w:rFonts w:ascii="Times New Roman" w:hAnsi="Times New Roman" w:cs="Times New Roman"/>
                <w:b/>
                <w:color w:val="17365D" w:themeColor="text2" w:themeShade="BF"/>
              </w:rPr>
              <w:t>Sursa:</w:t>
            </w:r>
            <w:r w:rsidRPr="00E1621A">
              <w:rPr>
                <w:rFonts w:ascii="Times New Roman" w:hAnsi="Times New Roman" w:cs="Times New Roman"/>
                <w:color w:val="17365D" w:themeColor="text2" w:themeShade="BF"/>
              </w:rPr>
              <w:t xml:space="preserve"> </w:t>
            </w:r>
            <w:r w:rsidRPr="00E1621A">
              <w:rPr>
                <w:rFonts w:ascii="Times New Roman" w:hAnsi="Times New Roman" w:cs="Times New Roman"/>
                <w:i/>
                <w:color w:val="17365D" w:themeColor="text2" w:themeShade="BF"/>
              </w:rPr>
              <w:t>Legea educației naționale 1/2011, cu modificările și completările ulterioare</w:t>
            </w:r>
          </w:p>
          <w:p w:rsidR="000B7297" w:rsidRPr="00A00715" w:rsidRDefault="000B7297" w:rsidP="00506463">
            <w:pPr>
              <w:jc w:val="both"/>
              <w:rPr>
                <w:rFonts w:ascii="Times New Roman" w:hAnsi="Times New Roman" w:cs="Times New Roman"/>
                <w:color w:val="17365D" w:themeColor="text2" w:themeShade="BF"/>
              </w:rPr>
            </w:pPr>
          </w:p>
        </w:tc>
      </w:tr>
      <w:tr w:rsidR="000B7297" w:rsidRPr="00E6419E" w:rsidTr="000B7297">
        <w:tc>
          <w:tcPr>
            <w:tcW w:w="1218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0B7297" w:rsidRPr="00E6419E" w:rsidRDefault="000B7297" w:rsidP="00506463">
            <w:pPr>
              <w:jc w:val="both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  <w:r>
              <w:rPr>
                <w:rFonts w:ascii="Times New Roman" w:hAnsi="Times New Roman" w:cs="Times New Roman"/>
                <w:b/>
                <w:color w:val="17365D" w:themeColor="text2" w:themeShade="BF"/>
              </w:rPr>
              <w:t>4S97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0B7297" w:rsidRPr="00E6419E" w:rsidRDefault="000B7297" w:rsidP="00506463">
            <w:pPr>
              <w:jc w:val="both"/>
              <w:rPr>
                <w:rFonts w:ascii="Times New Roman" w:hAnsi="Times New Roman" w:cs="Times New Roman"/>
                <w:b/>
                <w:color w:val="17365D" w:themeColor="text2" w:themeShade="BF"/>
              </w:rPr>
            </w:pPr>
            <w:r>
              <w:rPr>
                <w:rFonts w:ascii="Times New Roman" w:hAnsi="Times New Roman" w:cs="Times New Roman"/>
                <w:b/>
                <w:color w:val="17365D" w:themeColor="text2" w:themeShade="BF"/>
              </w:rPr>
              <w:t>Rezultat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0B7297" w:rsidRPr="00E6419E" w:rsidRDefault="000B7297" w:rsidP="00506463">
            <w:pPr>
              <w:jc w:val="both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A00715">
              <w:rPr>
                <w:rFonts w:ascii="Times New Roman" w:hAnsi="Times New Roman" w:cs="Times New Roman"/>
                <w:b/>
                <w:color w:val="17365D" w:themeColor="text2" w:themeShade="BF"/>
              </w:rPr>
              <w:t xml:space="preserve">4S97 </w:t>
            </w:r>
            <w:r>
              <w:rPr>
                <w:rFonts w:ascii="Times New Roman" w:hAnsi="Times New Roman" w:cs="Times New Roman"/>
                <w:color w:val="17365D" w:themeColor="text2" w:themeShade="BF"/>
              </w:rPr>
              <w:t xml:space="preserve">- </w:t>
            </w:r>
            <w:r w:rsidRPr="00A00715">
              <w:rPr>
                <w:rFonts w:ascii="Times New Roman" w:hAnsi="Times New Roman" w:cs="Times New Roman"/>
                <w:color w:val="17365D" w:themeColor="text2" w:themeShade="BF"/>
              </w:rPr>
              <w:t>Studii/analize utilizate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0B7297" w:rsidRDefault="000B7297" w:rsidP="00506463">
            <w:pPr>
              <w:jc w:val="both"/>
              <w:rPr>
                <w:rFonts w:ascii="Times New Roman" w:hAnsi="Times New Roman" w:cs="Times New Roman"/>
                <w:color w:val="17365D" w:themeColor="text2" w:themeShade="BF"/>
              </w:rPr>
            </w:pPr>
            <w:r w:rsidRPr="00A00715">
              <w:rPr>
                <w:rFonts w:ascii="Times New Roman" w:hAnsi="Times New Roman" w:cs="Times New Roman"/>
                <w:color w:val="17365D" w:themeColor="text2" w:themeShade="BF"/>
              </w:rPr>
              <w:t xml:space="preserve">Acest indicator reprezintă numărul de studii/analize elaborate pentru analiza </w:t>
            </w:r>
            <w:proofErr w:type="spellStart"/>
            <w:r w:rsidRPr="00A00715">
              <w:rPr>
                <w:rFonts w:ascii="Times New Roman" w:hAnsi="Times New Roman" w:cs="Times New Roman"/>
                <w:color w:val="17365D" w:themeColor="text2" w:themeShade="BF"/>
              </w:rPr>
              <w:t>calităţii</w:t>
            </w:r>
            <w:proofErr w:type="spellEnd"/>
            <w:r w:rsidRPr="00A00715">
              <w:rPr>
                <w:rFonts w:ascii="Times New Roman" w:hAnsi="Times New Roman" w:cs="Times New Roman"/>
                <w:color w:val="17365D" w:themeColor="text2" w:themeShade="BF"/>
              </w:rPr>
              <w:t xml:space="preserve"> în </w:t>
            </w:r>
            <w:proofErr w:type="spellStart"/>
            <w:r w:rsidRPr="00A00715">
              <w:rPr>
                <w:rFonts w:ascii="Times New Roman" w:hAnsi="Times New Roman" w:cs="Times New Roman"/>
                <w:color w:val="17365D" w:themeColor="text2" w:themeShade="BF"/>
              </w:rPr>
              <w:t>învăţământul</w:t>
            </w:r>
            <w:proofErr w:type="spellEnd"/>
            <w:r w:rsidRPr="00A00715">
              <w:rPr>
                <w:rFonts w:ascii="Times New Roman" w:hAnsi="Times New Roman" w:cs="Times New Roman"/>
                <w:color w:val="17365D" w:themeColor="text2" w:themeShade="BF"/>
              </w:rPr>
              <w:t xml:space="preserve"> </w:t>
            </w:r>
            <w:proofErr w:type="spellStart"/>
            <w:r w:rsidRPr="00A00715">
              <w:rPr>
                <w:rFonts w:ascii="Times New Roman" w:hAnsi="Times New Roman" w:cs="Times New Roman"/>
                <w:color w:val="17365D" w:themeColor="text2" w:themeShade="BF"/>
              </w:rPr>
              <w:t>terţiar</w:t>
            </w:r>
            <w:proofErr w:type="spellEnd"/>
            <w:r w:rsidRPr="00A00715">
              <w:rPr>
                <w:rFonts w:ascii="Times New Roman" w:hAnsi="Times New Roman" w:cs="Times New Roman"/>
                <w:color w:val="17365D" w:themeColor="text2" w:themeShade="BF"/>
              </w:rPr>
              <w:t xml:space="preserve"> universitar și non-universitar și utilizate în una din regiunile de dezvoltare eligibile, sprijinite direct în cadrul Obiectivului Specific 6.8.</w:t>
            </w:r>
          </w:p>
          <w:p w:rsidR="000B7297" w:rsidRDefault="000B7297" w:rsidP="00506463">
            <w:pPr>
              <w:jc w:val="both"/>
              <w:rPr>
                <w:rFonts w:ascii="Times New Roman" w:hAnsi="Times New Roman" w:cs="Times New Roman"/>
                <w:color w:val="17365D" w:themeColor="text2" w:themeShade="BF"/>
              </w:rPr>
            </w:pPr>
          </w:p>
          <w:p w:rsidR="000B7297" w:rsidRPr="00690524" w:rsidRDefault="000B7297" w:rsidP="00506463">
            <w:pPr>
              <w:jc w:val="both"/>
              <w:rPr>
                <w:rFonts w:ascii="Times New Roman" w:hAnsi="Times New Roman"/>
                <w:color w:val="17365D" w:themeColor="text2" w:themeShade="BF"/>
              </w:rPr>
            </w:pPr>
          </w:p>
        </w:tc>
      </w:tr>
    </w:tbl>
    <w:p w:rsidR="000B7297" w:rsidRPr="00E6419E" w:rsidRDefault="000B7297" w:rsidP="008C274B">
      <w:pPr>
        <w:jc w:val="both"/>
        <w:rPr>
          <w:rFonts w:ascii="Times New Roman" w:hAnsi="Times New Roman" w:cs="Times New Roman"/>
          <w:color w:val="17365D" w:themeColor="text2" w:themeShade="BF"/>
        </w:rPr>
      </w:pPr>
    </w:p>
    <w:p w:rsidR="00230DB2" w:rsidRPr="00E6419E" w:rsidRDefault="00230DB2" w:rsidP="008C274B">
      <w:pPr>
        <w:jc w:val="both"/>
        <w:rPr>
          <w:rFonts w:ascii="Times New Roman" w:hAnsi="Times New Roman" w:cs="Times New Roman"/>
          <w:color w:val="17365D" w:themeColor="text2" w:themeShade="BF"/>
        </w:rPr>
      </w:pPr>
    </w:p>
    <w:p w:rsidR="00230DB2" w:rsidRPr="00E6419E" w:rsidRDefault="00230DB2" w:rsidP="00230DB2">
      <w:pPr>
        <w:rPr>
          <w:rFonts w:ascii="Times New Roman" w:hAnsi="Times New Roman" w:cs="Times New Roman"/>
        </w:rPr>
      </w:pPr>
    </w:p>
    <w:p w:rsidR="00046A51" w:rsidRPr="00E6419E" w:rsidRDefault="00230DB2" w:rsidP="00230DB2">
      <w:pPr>
        <w:tabs>
          <w:tab w:val="left" w:pos="7950"/>
        </w:tabs>
        <w:rPr>
          <w:rFonts w:ascii="Times New Roman" w:hAnsi="Times New Roman" w:cs="Times New Roman"/>
        </w:rPr>
      </w:pPr>
      <w:r w:rsidRPr="00E6419E">
        <w:rPr>
          <w:rFonts w:ascii="Times New Roman" w:hAnsi="Times New Roman" w:cs="Times New Roman"/>
        </w:rPr>
        <w:tab/>
      </w:r>
    </w:p>
    <w:sectPr w:rsidR="00046A51" w:rsidRPr="00E6419E" w:rsidSect="000B729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F10" w:rsidRDefault="008B1F10" w:rsidP="00321234">
      <w:pPr>
        <w:spacing w:after="0" w:line="240" w:lineRule="auto"/>
      </w:pPr>
      <w:r>
        <w:separator/>
      </w:r>
    </w:p>
  </w:endnote>
  <w:endnote w:type="continuationSeparator" w:id="0">
    <w:p w:rsidR="008B1F10" w:rsidRDefault="008B1F10" w:rsidP="003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Square Sans Pro Medium">
    <w:altName w:val="MS Gothic"/>
    <w:charset w:val="80"/>
    <w:family w:val="auto"/>
    <w:pitch w:val="variable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7699844"/>
      <w:docPartObj>
        <w:docPartGallery w:val="Page Numbers (Bottom of Page)"/>
        <w:docPartUnique/>
      </w:docPartObj>
    </w:sdtPr>
    <w:sdtEndPr>
      <w:rPr>
        <w:b/>
      </w:rPr>
    </w:sdtEndPr>
    <w:sdtContent>
      <w:p w:rsidR="00F860C5" w:rsidRPr="000A046E" w:rsidRDefault="00F860C5">
        <w:pPr>
          <w:pStyle w:val="Subsol"/>
          <w:jc w:val="right"/>
          <w:rPr>
            <w:b/>
          </w:rPr>
        </w:pPr>
        <w:r w:rsidRPr="000A046E">
          <w:rPr>
            <w:b/>
          </w:rPr>
          <w:fldChar w:fldCharType="begin"/>
        </w:r>
        <w:r w:rsidRPr="000A046E">
          <w:rPr>
            <w:b/>
          </w:rPr>
          <w:instrText>PAGE   \* MERGEFORMAT</w:instrText>
        </w:r>
        <w:r w:rsidRPr="000A046E">
          <w:rPr>
            <w:b/>
          </w:rPr>
          <w:fldChar w:fldCharType="separate"/>
        </w:r>
        <w:r w:rsidR="00A76FB8">
          <w:rPr>
            <w:b/>
            <w:noProof/>
          </w:rPr>
          <w:t>1</w:t>
        </w:r>
        <w:r w:rsidRPr="000A046E">
          <w:rPr>
            <w:b/>
          </w:rPr>
          <w:fldChar w:fldCharType="end"/>
        </w:r>
      </w:p>
    </w:sdtContent>
  </w:sdt>
  <w:p w:rsidR="00F860C5" w:rsidRDefault="00F860C5" w:rsidP="00AE3D62">
    <w:pPr>
      <w:pStyle w:val="Subsol"/>
      <w:jc w:val="center"/>
      <w:rPr>
        <w:rFonts w:ascii="Calibri" w:hAnsi="Calibri"/>
        <w:b/>
        <w:i/>
        <w:color w:val="1F4E7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F10" w:rsidRDefault="008B1F10" w:rsidP="00321234">
      <w:pPr>
        <w:spacing w:after="0" w:line="240" w:lineRule="auto"/>
      </w:pPr>
      <w:r>
        <w:separator/>
      </w:r>
    </w:p>
  </w:footnote>
  <w:footnote w:type="continuationSeparator" w:id="0">
    <w:p w:rsidR="008B1F10" w:rsidRDefault="008B1F10" w:rsidP="00321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3"/>
    <w:multiLevelType w:val="multilevel"/>
    <w:tmpl w:val="00000013"/>
    <w:name w:val="WWNum22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>
    <w:nsid w:val="093E4C33"/>
    <w:multiLevelType w:val="hybridMultilevel"/>
    <w:tmpl w:val="FFD076A2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E079CC"/>
    <w:multiLevelType w:val="hybridMultilevel"/>
    <w:tmpl w:val="8F0C4278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119A7"/>
    <w:multiLevelType w:val="hybridMultilevel"/>
    <w:tmpl w:val="85B0442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E12B8B"/>
    <w:multiLevelType w:val="hybridMultilevel"/>
    <w:tmpl w:val="E81C09B4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8134B2"/>
    <w:multiLevelType w:val="hybridMultilevel"/>
    <w:tmpl w:val="81EA63D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DE14F5"/>
    <w:multiLevelType w:val="hybridMultilevel"/>
    <w:tmpl w:val="3BEACC0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7475A9"/>
    <w:multiLevelType w:val="hybridMultilevel"/>
    <w:tmpl w:val="39D299FA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A04753"/>
    <w:multiLevelType w:val="hybridMultilevel"/>
    <w:tmpl w:val="EE56D9D4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D164B4"/>
    <w:multiLevelType w:val="hybridMultilevel"/>
    <w:tmpl w:val="236E8048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792A86"/>
    <w:multiLevelType w:val="hybridMultilevel"/>
    <w:tmpl w:val="417C7E4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6029C8"/>
    <w:multiLevelType w:val="hybridMultilevel"/>
    <w:tmpl w:val="120E05CA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7D5C5B"/>
    <w:multiLevelType w:val="hybridMultilevel"/>
    <w:tmpl w:val="D690CFC8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646D5C"/>
    <w:multiLevelType w:val="hybridMultilevel"/>
    <w:tmpl w:val="404ADEF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045311"/>
    <w:multiLevelType w:val="hybridMultilevel"/>
    <w:tmpl w:val="03CC1BA4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CA2272"/>
    <w:multiLevelType w:val="hybridMultilevel"/>
    <w:tmpl w:val="489C142E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0"/>
  </w:num>
  <w:num w:numId="5">
    <w:abstractNumId w:val="7"/>
  </w:num>
  <w:num w:numId="6">
    <w:abstractNumId w:val="15"/>
  </w:num>
  <w:num w:numId="7">
    <w:abstractNumId w:val="1"/>
  </w:num>
  <w:num w:numId="8">
    <w:abstractNumId w:val="11"/>
  </w:num>
  <w:num w:numId="9">
    <w:abstractNumId w:val="12"/>
  </w:num>
  <w:num w:numId="10">
    <w:abstractNumId w:val="5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A51"/>
    <w:rsid w:val="00000117"/>
    <w:rsid w:val="000241B2"/>
    <w:rsid w:val="00037FA4"/>
    <w:rsid w:val="00046A51"/>
    <w:rsid w:val="0005210D"/>
    <w:rsid w:val="00054D65"/>
    <w:rsid w:val="00057836"/>
    <w:rsid w:val="00060F74"/>
    <w:rsid w:val="00076143"/>
    <w:rsid w:val="000A046E"/>
    <w:rsid w:val="000B7297"/>
    <w:rsid w:val="000C43A9"/>
    <w:rsid w:val="000D2CA5"/>
    <w:rsid w:val="000F079B"/>
    <w:rsid w:val="000F21C8"/>
    <w:rsid w:val="001005BA"/>
    <w:rsid w:val="001115B4"/>
    <w:rsid w:val="00131225"/>
    <w:rsid w:val="00134D20"/>
    <w:rsid w:val="00157B25"/>
    <w:rsid w:val="001821B4"/>
    <w:rsid w:val="00184E53"/>
    <w:rsid w:val="001858BE"/>
    <w:rsid w:val="001972AC"/>
    <w:rsid w:val="001A3B84"/>
    <w:rsid w:val="001B088E"/>
    <w:rsid w:val="001B6D11"/>
    <w:rsid w:val="00201563"/>
    <w:rsid w:val="00201824"/>
    <w:rsid w:val="00230DB2"/>
    <w:rsid w:val="0023134A"/>
    <w:rsid w:val="00236734"/>
    <w:rsid w:val="002616A7"/>
    <w:rsid w:val="002917A0"/>
    <w:rsid w:val="00297157"/>
    <w:rsid w:val="002A63C3"/>
    <w:rsid w:val="002C3357"/>
    <w:rsid w:val="002D3618"/>
    <w:rsid w:val="002E5906"/>
    <w:rsid w:val="00321234"/>
    <w:rsid w:val="00330E58"/>
    <w:rsid w:val="003618E8"/>
    <w:rsid w:val="00374AA3"/>
    <w:rsid w:val="003B3CE1"/>
    <w:rsid w:val="003B7D5F"/>
    <w:rsid w:val="003D4CD8"/>
    <w:rsid w:val="003D6F7A"/>
    <w:rsid w:val="003F77F1"/>
    <w:rsid w:val="004072E3"/>
    <w:rsid w:val="00424DA2"/>
    <w:rsid w:val="004371A5"/>
    <w:rsid w:val="00437A26"/>
    <w:rsid w:val="00460CE5"/>
    <w:rsid w:val="00486ECB"/>
    <w:rsid w:val="00493AD0"/>
    <w:rsid w:val="0049752A"/>
    <w:rsid w:val="004A7389"/>
    <w:rsid w:val="004C511A"/>
    <w:rsid w:val="004D1A76"/>
    <w:rsid w:val="004D29AE"/>
    <w:rsid w:val="005013D0"/>
    <w:rsid w:val="005070C6"/>
    <w:rsid w:val="005106D6"/>
    <w:rsid w:val="005167C9"/>
    <w:rsid w:val="00563534"/>
    <w:rsid w:val="0057480C"/>
    <w:rsid w:val="005A01EC"/>
    <w:rsid w:val="005C65C7"/>
    <w:rsid w:val="005D1224"/>
    <w:rsid w:val="005D1BB2"/>
    <w:rsid w:val="005E628B"/>
    <w:rsid w:val="005F2822"/>
    <w:rsid w:val="00620E85"/>
    <w:rsid w:val="00665A40"/>
    <w:rsid w:val="00690524"/>
    <w:rsid w:val="00695171"/>
    <w:rsid w:val="006C699B"/>
    <w:rsid w:val="006C7854"/>
    <w:rsid w:val="006D3494"/>
    <w:rsid w:val="006E05C7"/>
    <w:rsid w:val="00701288"/>
    <w:rsid w:val="00707A74"/>
    <w:rsid w:val="00746BEA"/>
    <w:rsid w:val="00773142"/>
    <w:rsid w:val="00780260"/>
    <w:rsid w:val="008233FB"/>
    <w:rsid w:val="008252D4"/>
    <w:rsid w:val="008350C0"/>
    <w:rsid w:val="00840683"/>
    <w:rsid w:val="00854121"/>
    <w:rsid w:val="00854898"/>
    <w:rsid w:val="00860BF5"/>
    <w:rsid w:val="00862843"/>
    <w:rsid w:val="0087640C"/>
    <w:rsid w:val="00876A67"/>
    <w:rsid w:val="00892008"/>
    <w:rsid w:val="00894898"/>
    <w:rsid w:val="008B1F10"/>
    <w:rsid w:val="008B312A"/>
    <w:rsid w:val="008B7E5B"/>
    <w:rsid w:val="008C274B"/>
    <w:rsid w:val="008C4C3D"/>
    <w:rsid w:val="008C6918"/>
    <w:rsid w:val="008D1CAB"/>
    <w:rsid w:val="008D759E"/>
    <w:rsid w:val="008E20F2"/>
    <w:rsid w:val="008E46F1"/>
    <w:rsid w:val="008F1A39"/>
    <w:rsid w:val="008F27F9"/>
    <w:rsid w:val="008F4AD9"/>
    <w:rsid w:val="009208F8"/>
    <w:rsid w:val="00923077"/>
    <w:rsid w:val="00960CEE"/>
    <w:rsid w:val="009940BE"/>
    <w:rsid w:val="009A2571"/>
    <w:rsid w:val="009A6243"/>
    <w:rsid w:val="00A00715"/>
    <w:rsid w:val="00A02414"/>
    <w:rsid w:val="00A311DD"/>
    <w:rsid w:val="00A31973"/>
    <w:rsid w:val="00A4365C"/>
    <w:rsid w:val="00A54295"/>
    <w:rsid w:val="00A76FB8"/>
    <w:rsid w:val="00A820DB"/>
    <w:rsid w:val="00AA1824"/>
    <w:rsid w:val="00AA19E4"/>
    <w:rsid w:val="00AC3A2C"/>
    <w:rsid w:val="00AE3D62"/>
    <w:rsid w:val="00B170D3"/>
    <w:rsid w:val="00B251B4"/>
    <w:rsid w:val="00B76A8B"/>
    <w:rsid w:val="00B82F81"/>
    <w:rsid w:val="00B94DC6"/>
    <w:rsid w:val="00BA362B"/>
    <w:rsid w:val="00BA52E2"/>
    <w:rsid w:val="00BA7C3C"/>
    <w:rsid w:val="00BC48C0"/>
    <w:rsid w:val="00BC4D19"/>
    <w:rsid w:val="00BC72E6"/>
    <w:rsid w:val="00BD02D7"/>
    <w:rsid w:val="00BE1256"/>
    <w:rsid w:val="00BE7363"/>
    <w:rsid w:val="00BF6405"/>
    <w:rsid w:val="00C0192C"/>
    <w:rsid w:val="00C053AF"/>
    <w:rsid w:val="00C10518"/>
    <w:rsid w:val="00C1055A"/>
    <w:rsid w:val="00C10822"/>
    <w:rsid w:val="00C1492E"/>
    <w:rsid w:val="00C255A0"/>
    <w:rsid w:val="00C30B3E"/>
    <w:rsid w:val="00C771FF"/>
    <w:rsid w:val="00C809C4"/>
    <w:rsid w:val="00CD6BEA"/>
    <w:rsid w:val="00CE3C1A"/>
    <w:rsid w:val="00CE4E2D"/>
    <w:rsid w:val="00CE6F37"/>
    <w:rsid w:val="00D16A02"/>
    <w:rsid w:val="00D3150D"/>
    <w:rsid w:val="00D60850"/>
    <w:rsid w:val="00D64836"/>
    <w:rsid w:val="00D71EDD"/>
    <w:rsid w:val="00DA4B4C"/>
    <w:rsid w:val="00DB6EEE"/>
    <w:rsid w:val="00DC1D80"/>
    <w:rsid w:val="00E02972"/>
    <w:rsid w:val="00E079E9"/>
    <w:rsid w:val="00E155C3"/>
    <w:rsid w:val="00E1621A"/>
    <w:rsid w:val="00E45EC3"/>
    <w:rsid w:val="00E460E7"/>
    <w:rsid w:val="00E55F89"/>
    <w:rsid w:val="00E6419E"/>
    <w:rsid w:val="00E733A7"/>
    <w:rsid w:val="00E86C95"/>
    <w:rsid w:val="00E9491B"/>
    <w:rsid w:val="00ED775C"/>
    <w:rsid w:val="00EE02B5"/>
    <w:rsid w:val="00EE1A64"/>
    <w:rsid w:val="00EF0F27"/>
    <w:rsid w:val="00EF7B48"/>
    <w:rsid w:val="00F0764A"/>
    <w:rsid w:val="00F41BA5"/>
    <w:rsid w:val="00F41E95"/>
    <w:rsid w:val="00F51876"/>
    <w:rsid w:val="00F60382"/>
    <w:rsid w:val="00F860C5"/>
    <w:rsid w:val="00F863C8"/>
    <w:rsid w:val="00F92FDC"/>
    <w:rsid w:val="00FB7E78"/>
    <w:rsid w:val="00FC21CE"/>
    <w:rsid w:val="00FD443F"/>
    <w:rsid w:val="00FD67F4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4DE82A5-B689-495C-AADE-812955554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33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Normal bullet 2,List Paragraph1,body 2,List Paragraph11,List Paragraph111"/>
    <w:basedOn w:val="Normal"/>
    <w:link w:val="ListparagrafCaracte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elgril">
    <w:name w:val="Table Grid"/>
    <w:basedOn w:val="TabelNormal"/>
    <w:uiPriority w:val="59"/>
    <w:rsid w:val="00046A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F9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92FDC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21234"/>
  </w:style>
  <w:style w:type="paragraph" w:styleId="Subsol">
    <w:name w:val="footer"/>
    <w:basedOn w:val="Normal"/>
    <w:link w:val="SubsolCaracte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21234"/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"/>
    <w:link w:val="Listparagraf"/>
    <w:uiPriority w:val="34"/>
    <w:rsid w:val="005A01EC"/>
    <w:rPr>
      <w:rFonts w:cs="Times New Roman"/>
    </w:rPr>
  </w:style>
  <w:style w:type="character" w:styleId="Hyperlink">
    <w:name w:val="Hyperlink"/>
    <w:uiPriority w:val="99"/>
    <w:rsid w:val="008350C0"/>
    <w:rPr>
      <w:color w:val="0563C1"/>
      <w:u w:val="single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rsid w:val="008350C0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basedOn w:val="Fontdeparagrafimplicit"/>
    <w:link w:val="Textnotdesubsol"/>
    <w:rsid w:val="008350C0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itlu1Caracter">
    <w:name w:val="Titlu 1 Caracter"/>
    <w:basedOn w:val="Fontdeparagrafimplicit"/>
    <w:link w:val="Titlu1"/>
    <w:uiPriority w:val="9"/>
    <w:rsid w:val="0033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gril1">
    <w:name w:val="Tabel grilă1"/>
    <w:basedOn w:val="TabelNormal"/>
    <w:next w:val="Tabelgril"/>
    <w:uiPriority w:val="59"/>
    <w:rsid w:val="008B31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innotdesubsol">
    <w:name w:val="footnote reference"/>
    <w:basedOn w:val="Fontdeparagrafimplicit"/>
    <w:uiPriority w:val="99"/>
    <w:semiHidden/>
    <w:unhideWhenUsed/>
    <w:rsid w:val="00054D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0FE1F-81BB-43B9-8D15-DAAD7230F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daniel chitoi</cp:lastModifiedBy>
  <cp:revision>4</cp:revision>
  <cp:lastPrinted>2016-04-15T09:42:00Z</cp:lastPrinted>
  <dcterms:created xsi:type="dcterms:W3CDTF">2018-05-04T06:38:00Z</dcterms:created>
  <dcterms:modified xsi:type="dcterms:W3CDTF">2018-07-12T13:47:00Z</dcterms:modified>
</cp:coreProperties>
</file>